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36CEC1" w14:textId="4F665772" w:rsidR="003E0D5A" w:rsidRPr="00B80F63" w:rsidRDefault="003C54F4" w:rsidP="00FC1FA2">
      <w:pPr>
        <w:jc w:val="center"/>
        <w:rPr>
          <w:b/>
        </w:rPr>
      </w:pPr>
      <w:r w:rsidRPr="00B80F63">
        <w:rPr>
          <w:b/>
        </w:rPr>
        <w:t xml:space="preserve">Read Me for </w:t>
      </w:r>
      <w:r w:rsidR="00562B48" w:rsidRPr="00B80F63">
        <w:rPr>
          <w:b/>
        </w:rPr>
        <w:t xml:space="preserve">the Hebraic Roots Bible, </w:t>
      </w:r>
      <w:r w:rsidRPr="00B80F63">
        <w:rPr>
          <w:b/>
        </w:rPr>
        <w:t>HRB2</w:t>
      </w:r>
      <w:r w:rsidR="00562B48" w:rsidRPr="00B80F63">
        <w:rPr>
          <w:b/>
        </w:rPr>
        <w:t xml:space="preserve">, </w:t>
      </w:r>
      <w:r w:rsidR="005306DC">
        <w:rPr>
          <w:b/>
        </w:rPr>
        <w:t>i</w:t>
      </w:r>
      <w:r w:rsidR="00562B48" w:rsidRPr="00B80F63">
        <w:rPr>
          <w:b/>
        </w:rPr>
        <w:t>n</w:t>
      </w:r>
      <w:r w:rsidR="00B139CC" w:rsidRPr="00B80F63">
        <w:rPr>
          <w:b/>
        </w:rPr>
        <w:t xml:space="preserve"> </w:t>
      </w:r>
      <w:r w:rsidRPr="00B80F63">
        <w:rPr>
          <w:b/>
        </w:rPr>
        <w:t>e</w:t>
      </w:r>
      <w:r w:rsidR="005306DC">
        <w:rPr>
          <w:b/>
        </w:rPr>
        <w:t>Sword</w:t>
      </w:r>
    </w:p>
    <w:p w14:paraId="03A6A805" w14:textId="77777777" w:rsidR="003C54F4" w:rsidRPr="00B80F63" w:rsidRDefault="003C54F4" w:rsidP="00FA5891">
      <w:pPr>
        <w:pStyle w:val="Heading1"/>
        <w:rPr>
          <w:sz w:val="28"/>
        </w:rPr>
      </w:pPr>
      <w:r w:rsidRPr="00B80F63">
        <w:rPr>
          <w:sz w:val="28"/>
        </w:rPr>
        <w:t>Files Available</w:t>
      </w:r>
    </w:p>
    <w:p w14:paraId="2B887C7E" w14:textId="2B1BA62B" w:rsidR="003C54F4" w:rsidRPr="00B80F63" w:rsidRDefault="003C54F4" w:rsidP="00FA5891">
      <w:pPr>
        <w:rPr>
          <w:sz w:val="22"/>
        </w:rPr>
      </w:pPr>
      <w:r w:rsidRPr="00B80F63">
        <w:rPr>
          <w:sz w:val="22"/>
        </w:rPr>
        <w:t>The following file</w:t>
      </w:r>
      <w:r w:rsidR="005306DC">
        <w:rPr>
          <w:sz w:val="22"/>
        </w:rPr>
        <w:t xml:space="preserve">s </w:t>
      </w:r>
      <w:r w:rsidRPr="00B80F63">
        <w:rPr>
          <w:sz w:val="22"/>
        </w:rPr>
        <w:t xml:space="preserve">are </w:t>
      </w:r>
      <w:r w:rsidR="005F01DD">
        <w:rPr>
          <w:sz w:val="22"/>
        </w:rPr>
        <w:t xml:space="preserve">used </w:t>
      </w:r>
      <w:r w:rsidRPr="00B80F63">
        <w:rPr>
          <w:sz w:val="22"/>
        </w:rPr>
        <w:t xml:space="preserve">for </w:t>
      </w:r>
      <w:r w:rsidR="005306DC">
        <w:rPr>
          <w:sz w:val="22"/>
        </w:rPr>
        <w:t xml:space="preserve">full eSword </w:t>
      </w:r>
      <w:r w:rsidRPr="00B80F63">
        <w:rPr>
          <w:sz w:val="22"/>
        </w:rPr>
        <w:t>installation:</w:t>
      </w:r>
    </w:p>
    <w:p w14:paraId="2E1CBBDA" w14:textId="7FD60965" w:rsidR="003C54F4" w:rsidRPr="00B80F63" w:rsidRDefault="005306DC" w:rsidP="00FA5891">
      <w:pPr>
        <w:pStyle w:val="ListParagraph"/>
        <w:numPr>
          <w:ilvl w:val="0"/>
          <w:numId w:val="1"/>
        </w:numPr>
        <w:rPr>
          <w:sz w:val="22"/>
        </w:rPr>
      </w:pPr>
      <w:r>
        <w:rPr>
          <w:sz w:val="22"/>
        </w:rPr>
        <w:t>HRB2</w:t>
      </w:r>
      <w:r w:rsidR="00B4709F">
        <w:rPr>
          <w:sz w:val="22"/>
        </w:rPr>
        <w:t>-Bible</w:t>
      </w:r>
      <w:bookmarkStart w:id="0" w:name="_GoBack"/>
      <w:bookmarkEnd w:id="0"/>
      <w:r>
        <w:rPr>
          <w:sz w:val="22"/>
        </w:rPr>
        <w:t>.bblx</w:t>
      </w:r>
    </w:p>
    <w:p w14:paraId="1F5F5803" w14:textId="31EA55C4" w:rsidR="003C54F4" w:rsidRPr="00B80F63" w:rsidRDefault="005306DC" w:rsidP="00FA5891">
      <w:pPr>
        <w:pStyle w:val="ListParagraph"/>
        <w:numPr>
          <w:ilvl w:val="0"/>
          <w:numId w:val="1"/>
        </w:numPr>
        <w:rPr>
          <w:sz w:val="22"/>
        </w:rPr>
      </w:pPr>
      <w:r>
        <w:rPr>
          <w:sz w:val="22"/>
        </w:rPr>
        <w:t>HRB-Concordance.dctx</w:t>
      </w:r>
    </w:p>
    <w:p w14:paraId="154999D6" w14:textId="539D2EE7" w:rsidR="003C54F4" w:rsidRDefault="005306DC" w:rsidP="00FA5891">
      <w:pPr>
        <w:pStyle w:val="ListParagraph"/>
        <w:numPr>
          <w:ilvl w:val="0"/>
          <w:numId w:val="1"/>
        </w:numPr>
        <w:rPr>
          <w:sz w:val="22"/>
        </w:rPr>
      </w:pPr>
      <w:r>
        <w:rPr>
          <w:sz w:val="22"/>
        </w:rPr>
        <w:t>HRB-Notes.cmtx</w:t>
      </w:r>
    </w:p>
    <w:p w14:paraId="5609DE2C" w14:textId="501D237E" w:rsidR="005306DC" w:rsidRDefault="005306DC" w:rsidP="00FA5891">
      <w:pPr>
        <w:pStyle w:val="ListParagraph"/>
        <w:numPr>
          <w:ilvl w:val="0"/>
          <w:numId w:val="1"/>
        </w:numPr>
        <w:rPr>
          <w:sz w:val="22"/>
        </w:rPr>
      </w:pPr>
      <w:r>
        <w:rPr>
          <w:sz w:val="22"/>
        </w:rPr>
        <w:t>HRB-Maps.mapx</w:t>
      </w:r>
    </w:p>
    <w:p w14:paraId="5B68B67B" w14:textId="77777777" w:rsidR="001C537B" w:rsidRPr="001C537B" w:rsidRDefault="001C537B" w:rsidP="001C537B">
      <w:pPr>
        <w:pStyle w:val="ListParagraph"/>
        <w:rPr>
          <w:sz w:val="22"/>
        </w:rPr>
      </w:pPr>
    </w:p>
    <w:p w14:paraId="439F5BF1" w14:textId="07C421C5" w:rsidR="00B139CC" w:rsidRPr="00B80F63" w:rsidRDefault="00B139CC" w:rsidP="00FA5891">
      <w:pPr>
        <w:rPr>
          <w:sz w:val="22"/>
        </w:rPr>
      </w:pPr>
      <w:r w:rsidRPr="00B80F63">
        <w:rPr>
          <w:sz w:val="22"/>
        </w:rPr>
        <w:t xml:space="preserve">These files </w:t>
      </w:r>
      <w:r w:rsidR="005306DC">
        <w:rPr>
          <w:sz w:val="22"/>
        </w:rPr>
        <w:t xml:space="preserve">should </w:t>
      </w:r>
      <w:r w:rsidR="004317C3">
        <w:rPr>
          <w:sz w:val="22"/>
        </w:rPr>
        <w:t xml:space="preserve">typically </w:t>
      </w:r>
      <w:r w:rsidR="005306DC">
        <w:rPr>
          <w:sz w:val="22"/>
        </w:rPr>
        <w:t>be</w:t>
      </w:r>
      <w:r w:rsidRPr="00B80F63">
        <w:rPr>
          <w:sz w:val="22"/>
        </w:rPr>
        <w:t xml:space="preserve"> loaded </w:t>
      </w:r>
      <w:r w:rsidR="005306DC">
        <w:rPr>
          <w:sz w:val="22"/>
        </w:rPr>
        <w:t>directly into the following folder</w:t>
      </w:r>
      <w:r w:rsidRPr="00B80F63">
        <w:rPr>
          <w:sz w:val="22"/>
        </w:rPr>
        <w:t>:</w:t>
      </w:r>
    </w:p>
    <w:p w14:paraId="176976A9" w14:textId="33894B09" w:rsidR="00562B48" w:rsidRPr="00B80F63" w:rsidRDefault="00B139CC" w:rsidP="005306DC">
      <w:pPr>
        <w:rPr>
          <w:sz w:val="22"/>
        </w:rPr>
      </w:pPr>
      <w:r w:rsidRPr="00B80F63">
        <w:rPr>
          <w:sz w:val="22"/>
        </w:rPr>
        <w:t xml:space="preserve">• </w:t>
      </w:r>
      <w:r w:rsidR="005306DC">
        <w:rPr>
          <w:sz w:val="22"/>
        </w:rPr>
        <w:t>C: \Program Files\e-Sword\</w:t>
      </w:r>
    </w:p>
    <w:p w14:paraId="6B8BD40E" w14:textId="00BDA981" w:rsidR="00E94436" w:rsidRPr="00B80F63" w:rsidRDefault="00E94436" w:rsidP="00FA5891">
      <w:pPr>
        <w:pStyle w:val="Heading1"/>
        <w:rPr>
          <w:sz w:val="28"/>
        </w:rPr>
      </w:pPr>
      <w:r w:rsidRPr="00B80F63">
        <w:rPr>
          <w:sz w:val="28"/>
        </w:rPr>
        <w:t>Navigating Within the Hebraic Roots Bible</w:t>
      </w:r>
    </w:p>
    <w:p w14:paraId="68F562C3" w14:textId="1A8A36AD" w:rsidR="00864900" w:rsidRDefault="009A5FE2" w:rsidP="00FA5891">
      <w:pPr>
        <w:rPr>
          <w:sz w:val="22"/>
        </w:rPr>
      </w:pPr>
      <w:r>
        <w:rPr>
          <w:sz w:val="22"/>
        </w:rPr>
        <w:t xml:space="preserve">The Hebraic Roots Bible consists of four different components </w:t>
      </w:r>
      <w:r w:rsidR="00170256">
        <w:rPr>
          <w:sz w:val="22"/>
        </w:rPr>
        <w:t>which show</w:t>
      </w:r>
      <w:r>
        <w:rPr>
          <w:sz w:val="22"/>
        </w:rPr>
        <w:t xml:space="preserve"> up in four different windows within eSword: 1) Bibles, 2) Commentaries, 3) Dictionaries and 4) Graphic Viewer. Once the above files are installed and eSword started, the following new tabs should appear</w:t>
      </w:r>
      <w:r w:rsidR="00170256">
        <w:rPr>
          <w:sz w:val="22"/>
        </w:rPr>
        <w:t xml:space="preserve"> in each of the windows:</w:t>
      </w:r>
    </w:p>
    <w:p w14:paraId="546540F1" w14:textId="1CEFE2C6" w:rsidR="00170256" w:rsidRDefault="00170256" w:rsidP="00FA5891">
      <w:pPr>
        <w:rPr>
          <w:sz w:val="22"/>
        </w:rPr>
      </w:pPr>
      <w:r>
        <w:rPr>
          <w:sz w:val="22"/>
        </w:rPr>
        <w:t>• “HRB” in the Bibles window</w:t>
      </w:r>
    </w:p>
    <w:p w14:paraId="1E91E381" w14:textId="279C3284" w:rsidR="00170256" w:rsidRDefault="00170256" w:rsidP="00FA5891">
      <w:pPr>
        <w:rPr>
          <w:sz w:val="22"/>
        </w:rPr>
      </w:pPr>
      <w:r>
        <w:rPr>
          <w:sz w:val="22"/>
        </w:rPr>
        <w:t>• “HRB Concordance” in the Dictionaries window</w:t>
      </w:r>
    </w:p>
    <w:p w14:paraId="527989E4" w14:textId="77777777" w:rsidR="001256B6" w:rsidRDefault="001256B6" w:rsidP="001256B6">
      <w:pPr>
        <w:rPr>
          <w:sz w:val="22"/>
        </w:rPr>
      </w:pPr>
      <w:r>
        <w:rPr>
          <w:sz w:val="22"/>
        </w:rPr>
        <w:t>• “HRB Notes” in the Commentaries window</w:t>
      </w:r>
    </w:p>
    <w:p w14:paraId="44EBDD79" w14:textId="5A0BF4E7" w:rsidR="00170256" w:rsidRDefault="00170256" w:rsidP="00FA5891">
      <w:pPr>
        <w:rPr>
          <w:sz w:val="22"/>
        </w:rPr>
      </w:pPr>
      <w:r>
        <w:rPr>
          <w:sz w:val="22"/>
        </w:rPr>
        <w:t>• “HRB Maps” in the Graphic Viewer window</w:t>
      </w:r>
    </w:p>
    <w:p w14:paraId="5D7045FB" w14:textId="16C7D803" w:rsidR="00170256" w:rsidRPr="00B80F63" w:rsidRDefault="00170256" w:rsidP="00FA5891">
      <w:pPr>
        <w:rPr>
          <w:sz w:val="22"/>
        </w:rPr>
      </w:pPr>
      <w:r>
        <w:rPr>
          <w:sz w:val="22"/>
        </w:rPr>
        <w:t>The following sections provide a brief description of each of these HRB components.</w:t>
      </w:r>
    </w:p>
    <w:p w14:paraId="69EE2C0F" w14:textId="1FCF82CE" w:rsidR="00864900" w:rsidRPr="00B80F63" w:rsidRDefault="00C166B9" w:rsidP="00FA5891">
      <w:pPr>
        <w:pStyle w:val="Heading2"/>
        <w:rPr>
          <w:sz w:val="24"/>
        </w:rPr>
      </w:pPr>
      <w:r>
        <w:rPr>
          <w:sz w:val="24"/>
        </w:rPr>
        <w:t>Bible</w:t>
      </w:r>
    </w:p>
    <w:p w14:paraId="68A92D24" w14:textId="7DB59040" w:rsidR="00966EE0" w:rsidRDefault="00E20B55" w:rsidP="00FA5891">
      <w:pPr>
        <w:rPr>
          <w:sz w:val="22"/>
        </w:rPr>
      </w:pPr>
      <w:r>
        <w:rPr>
          <w:sz w:val="22"/>
        </w:rPr>
        <w:t xml:space="preserve">The Scripture text for the Hebraic Roots Bible shows up under the “HRB” tab in the Bibles window. Each verse is preceded by its verse identification which changes from green to red-brown in color when selected (default settings). </w:t>
      </w:r>
      <w:r w:rsidR="008B4942">
        <w:rPr>
          <w:sz w:val="22"/>
        </w:rPr>
        <w:t xml:space="preserve">Study </w:t>
      </w:r>
      <w:r>
        <w:rPr>
          <w:sz w:val="22"/>
        </w:rPr>
        <w:t xml:space="preserve">notes are identified by </w:t>
      </w:r>
      <w:r w:rsidR="008B4942">
        <w:rPr>
          <w:sz w:val="22"/>
        </w:rPr>
        <w:t>a</w:t>
      </w:r>
      <w:r>
        <w:rPr>
          <w:sz w:val="22"/>
        </w:rPr>
        <w:t xml:space="preserve"> </w:t>
      </w:r>
      <w:r w:rsidR="00966EE0">
        <w:rPr>
          <w:sz w:val="22"/>
        </w:rPr>
        <w:t>‘</w:t>
      </w:r>
      <w:r>
        <w:rPr>
          <w:sz w:val="22"/>
        </w:rPr>
        <w:t>dallet</w:t>
      </w:r>
      <w:r w:rsidR="00966EE0">
        <w:rPr>
          <w:sz w:val="22"/>
        </w:rPr>
        <w:t>’</w:t>
      </w:r>
      <w:r>
        <w:rPr>
          <w:sz w:val="22"/>
        </w:rPr>
        <w:t xml:space="preserve"> symbol (†) and can be viewed in the Commentaries window as a linked reference</w:t>
      </w:r>
      <w:r w:rsidR="008B4942">
        <w:rPr>
          <w:sz w:val="22"/>
        </w:rPr>
        <w:t xml:space="preserve"> under the “HRB Notes” tab</w:t>
      </w:r>
      <w:r>
        <w:rPr>
          <w:sz w:val="22"/>
        </w:rPr>
        <w:t>.</w:t>
      </w:r>
      <w:r w:rsidR="008B4942">
        <w:rPr>
          <w:sz w:val="22"/>
        </w:rPr>
        <w:t xml:space="preserve"> </w:t>
      </w:r>
      <w:r w:rsidR="00852201">
        <w:rPr>
          <w:sz w:val="22"/>
        </w:rPr>
        <w:t>Cross-reference verses</w:t>
      </w:r>
      <w:r w:rsidR="00362762">
        <w:rPr>
          <w:sz w:val="22"/>
        </w:rPr>
        <w:t>, normally embedded within the Bible text,</w:t>
      </w:r>
      <w:r w:rsidR="00852201">
        <w:rPr>
          <w:sz w:val="22"/>
        </w:rPr>
        <w:t xml:space="preserve"> are identified by a </w:t>
      </w:r>
      <w:r w:rsidR="00966EE0">
        <w:rPr>
          <w:sz w:val="22"/>
        </w:rPr>
        <w:t>‘</w:t>
      </w:r>
      <w:r w:rsidR="00362762">
        <w:rPr>
          <w:sz w:val="22"/>
        </w:rPr>
        <w:t>ring-above</w:t>
      </w:r>
      <w:r w:rsidR="00966EE0">
        <w:rPr>
          <w:sz w:val="22"/>
        </w:rPr>
        <w:t>’</w:t>
      </w:r>
      <w:r w:rsidR="00852201">
        <w:rPr>
          <w:sz w:val="22"/>
        </w:rPr>
        <w:t xml:space="preserve"> symbol (</w:t>
      </w:r>
      <w:r w:rsidR="00CA70BB">
        <w:rPr>
          <w:sz w:val="22"/>
        </w:rPr>
        <w:t>°</w:t>
      </w:r>
      <w:r w:rsidR="00852201">
        <w:rPr>
          <w:sz w:val="22"/>
        </w:rPr>
        <w:t>) and can also be viewed in the Commentaries window as a linked reference under the “HRB Notes” tab.  The reference</w:t>
      </w:r>
      <w:r w:rsidR="00ED58B0">
        <w:rPr>
          <w:sz w:val="22"/>
        </w:rPr>
        <w:t xml:space="preserve"> verses  </w:t>
      </w:r>
      <w:r w:rsidR="00966EE0">
        <w:rPr>
          <w:sz w:val="22"/>
        </w:rPr>
        <w:t xml:space="preserve">in the Commentaries window </w:t>
      </w:r>
      <w:r w:rsidR="00ED58B0">
        <w:rPr>
          <w:sz w:val="22"/>
        </w:rPr>
        <w:t>are ‘hot’ and will show the cross-reference verse(s) in a pop-</w:t>
      </w:r>
      <w:r w:rsidR="00852201">
        <w:rPr>
          <w:sz w:val="22"/>
        </w:rPr>
        <w:t xml:space="preserve">up a window when the mouse hovers over the reference. </w:t>
      </w:r>
      <w:r w:rsidR="00362762">
        <w:rPr>
          <w:sz w:val="22"/>
        </w:rPr>
        <w:t xml:space="preserve">Study notes and cross-reference verses appear together in the </w:t>
      </w:r>
      <w:r w:rsidR="00ED58B0">
        <w:rPr>
          <w:sz w:val="22"/>
        </w:rPr>
        <w:t xml:space="preserve">“HRB Notes” tab in the </w:t>
      </w:r>
      <w:r w:rsidR="00362762">
        <w:rPr>
          <w:sz w:val="22"/>
        </w:rPr>
        <w:t xml:space="preserve">Commentaries window. </w:t>
      </w:r>
      <w:r w:rsidR="007C779E">
        <w:rPr>
          <w:sz w:val="22"/>
        </w:rPr>
        <w:t xml:space="preserve">Note that clicking on the </w:t>
      </w:r>
      <w:r w:rsidR="00966EE0">
        <w:rPr>
          <w:sz w:val="22"/>
        </w:rPr>
        <w:t>‘</w:t>
      </w:r>
      <w:r w:rsidR="007C779E">
        <w:rPr>
          <w:sz w:val="22"/>
        </w:rPr>
        <w:t>dallet</w:t>
      </w:r>
      <w:r w:rsidR="00966EE0">
        <w:rPr>
          <w:sz w:val="22"/>
        </w:rPr>
        <w:t>’</w:t>
      </w:r>
      <w:r w:rsidR="007C779E">
        <w:rPr>
          <w:sz w:val="22"/>
        </w:rPr>
        <w:t xml:space="preserve"> or </w:t>
      </w:r>
      <w:r w:rsidR="00966EE0">
        <w:rPr>
          <w:sz w:val="22"/>
        </w:rPr>
        <w:t>‘</w:t>
      </w:r>
      <w:r w:rsidR="007C779E">
        <w:rPr>
          <w:sz w:val="22"/>
        </w:rPr>
        <w:t>ring-above</w:t>
      </w:r>
      <w:r w:rsidR="00966EE0">
        <w:rPr>
          <w:sz w:val="22"/>
        </w:rPr>
        <w:t>’</w:t>
      </w:r>
      <w:r w:rsidR="007C779E">
        <w:rPr>
          <w:sz w:val="22"/>
        </w:rPr>
        <w:t xml:space="preserve"> symbols in the Bible text</w:t>
      </w:r>
      <w:r w:rsidR="00966EE0">
        <w:rPr>
          <w:sz w:val="22"/>
        </w:rPr>
        <w:t xml:space="preserve"> does nothing. They are only indicators for the reader to look in the Commentaries window when the verse is selected in the Bible text. The associated study notes and/or cross-reference verse will be seen.</w:t>
      </w:r>
    </w:p>
    <w:p w14:paraId="0A348800" w14:textId="0224B31E" w:rsidR="003C5B33" w:rsidRDefault="008B4942" w:rsidP="00FA5891">
      <w:pPr>
        <w:rPr>
          <w:sz w:val="22"/>
        </w:rPr>
      </w:pPr>
      <w:r>
        <w:rPr>
          <w:sz w:val="22"/>
        </w:rPr>
        <w:t xml:space="preserve">A typical Bibles window with the “HRB” tab selected looks like the following screen shot. Note that </w:t>
      </w:r>
      <w:r w:rsidR="008C3946">
        <w:rPr>
          <w:sz w:val="22"/>
        </w:rPr>
        <w:t>Rev 21:4</w:t>
      </w:r>
      <w:r>
        <w:rPr>
          <w:sz w:val="22"/>
        </w:rPr>
        <w:t xml:space="preserve"> has been selected and the verse reference is a different color. Also note the dallet </w:t>
      </w:r>
      <w:r w:rsidR="008C3946">
        <w:rPr>
          <w:sz w:val="22"/>
        </w:rPr>
        <w:t xml:space="preserve">and ‘ring-above’ </w:t>
      </w:r>
      <w:r>
        <w:rPr>
          <w:sz w:val="22"/>
        </w:rPr>
        <w:t>symbol</w:t>
      </w:r>
      <w:r w:rsidR="008C3946">
        <w:rPr>
          <w:sz w:val="22"/>
        </w:rPr>
        <w:t>s</w:t>
      </w:r>
      <w:r>
        <w:rPr>
          <w:sz w:val="22"/>
        </w:rPr>
        <w:t xml:space="preserve"> </w:t>
      </w:r>
      <w:r w:rsidR="008C3946">
        <w:rPr>
          <w:sz w:val="22"/>
        </w:rPr>
        <w:t>in three of the</w:t>
      </w:r>
      <w:r>
        <w:rPr>
          <w:sz w:val="22"/>
        </w:rPr>
        <w:t xml:space="preserve"> verse</w:t>
      </w:r>
      <w:r w:rsidR="008C3946">
        <w:rPr>
          <w:sz w:val="22"/>
        </w:rPr>
        <w:t>s, indicating that</w:t>
      </w:r>
      <w:r>
        <w:rPr>
          <w:sz w:val="22"/>
        </w:rPr>
        <w:t xml:space="preserve"> linked study note</w:t>
      </w:r>
      <w:r w:rsidR="008C3946">
        <w:rPr>
          <w:sz w:val="22"/>
        </w:rPr>
        <w:t>s</w:t>
      </w:r>
      <w:r>
        <w:rPr>
          <w:sz w:val="22"/>
        </w:rPr>
        <w:t xml:space="preserve"> </w:t>
      </w:r>
      <w:r w:rsidR="008C3946">
        <w:rPr>
          <w:sz w:val="22"/>
        </w:rPr>
        <w:t>and cross-references are</w:t>
      </w:r>
      <w:r>
        <w:rPr>
          <w:sz w:val="22"/>
        </w:rPr>
        <w:t xml:space="preserve"> available in the Commentaries window</w:t>
      </w:r>
      <w:r w:rsidR="008C3946">
        <w:rPr>
          <w:sz w:val="22"/>
        </w:rPr>
        <w:t xml:space="preserve"> when </w:t>
      </w:r>
      <w:r w:rsidR="00CA70BB">
        <w:rPr>
          <w:sz w:val="22"/>
        </w:rPr>
        <w:t>those verses are selected</w:t>
      </w:r>
      <w:r>
        <w:rPr>
          <w:sz w:val="22"/>
        </w:rPr>
        <w:t xml:space="preserve">. The other operation in the Bibles window for the HRB are the standard eSword </w:t>
      </w:r>
      <w:r>
        <w:rPr>
          <w:sz w:val="22"/>
        </w:rPr>
        <w:lastRenderedPageBreak/>
        <w:t xml:space="preserve">capabilities, e.g. word look-up, search, highlighting, bookmarking, etc. See the eSword </w:t>
      </w:r>
      <w:r w:rsidR="004317C3">
        <w:rPr>
          <w:sz w:val="22"/>
        </w:rPr>
        <w:t>Help menu for these features.</w:t>
      </w:r>
    </w:p>
    <w:p w14:paraId="51F5CE80" w14:textId="77777777" w:rsidR="001256B6" w:rsidRDefault="008C3946" w:rsidP="004317C3">
      <w:pPr>
        <w:rPr>
          <w:sz w:val="22"/>
        </w:rPr>
      </w:pPr>
      <w:r>
        <w:rPr>
          <w:noProof/>
          <w:sz w:val="22"/>
        </w:rPr>
        <w:drawing>
          <wp:inline distT="0" distB="0" distL="0" distR="0" wp14:anchorId="422C6167" wp14:editId="3139A6EA">
            <wp:extent cx="5401996" cy="3941748"/>
            <wp:effectExtent l="0" t="0" r="8255" b="0"/>
            <wp:docPr id="2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2395" cy="3942039"/>
                    </a:xfrm>
                    <a:prstGeom prst="rect">
                      <a:avLst/>
                    </a:prstGeom>
                    <a:noFill/>
                    <a:ln>
                      <a:noFill/>
                    </a:ln>
                  </pic:spPr>
                </pic:pic>
              </a:graphicData>
            </a:graphic>
          </wp:inline>
        </w:drawing>
      </w:r>
    </w:p>
    <w:p w14:paraId="0EA8688A" w14:textId="77777777" w:rsidR="00683B2F" w:rsidRDefault="00683B2F" w:rsidP="004317C3">
      <w:pPr>
        <w:rPr>
          <w:sz w:val="22"/>
        </w:rPr>
      </w:pPr>
    </w:p>
    <w:p w14:paraId="4694EFAC" w14:textId="5DFFF45E" w:rsidR="003C5B33" w:rsidRDefault="004317C3" w:rsidP="004317C3">
      <w:pPr>
        <w:rPr>
          <w:sz w:val="22"/>
        </w:rPr>
      </w:pPr>
      <w:r>
        <w:rPr>
          <w:sz w:val="22"/>
        </w:rPr>
        <w:t>A brief description of the Hebraic Roots Bible is located under the ‘Bible’ menu as ‘Information…” The pop-up window looks like the following:</w:t>
      </w:r>
    </w:p>
    <w:p w14:paraId="0E21783E" w14:textId="77777777" w:rsidR="004317C3" w:rsidRDefault="004317C3" w:rsidP="004317C3">
      <w:pPr>
        <w:jc w:val="center"/>
        <w:rPr>
          <w:sz w:val="22"/>
        </w:rPr>
      </w:pPr>
      <w:r>
        <w:rPr>
          <w:noProof/>
          <w:sz w:val="22"/>
        </w:rPr>
        <w:drawing>
          <wp:inline distT="0" distB="0" distL="0" distR="0" wp14:anchorId="0358DA91" wp14:editId="2495CBC4">
            <wp:extent cx="4341264" cy="3629050"/>
            <wp:effectExtent l="0" t="0" r="2540" b="3175"/>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41264" cy="3629050"/>
                    </a:xfrm>
                    <a:prstGeom prst="rect">
                      <a:avLst/>
                    </a:prstGeom>
                    <a:noFill/>
                    <a:ln>
                      <a:noFill/>
                    </a:ln>
                  </pic:spPr>
                </pic:pic>
              </a:graphicData>
            </a:graphic>
          </wp:inline>
        </w:drawing>
      </w:r>
    </w:p>
    <w:p w14:paraId="17D1FD38" w14:textId="77777777" w:rsidR="00041447" w:rsidRDefault="00041447" w:rsidP="00FA5891">
      <w:pPr>
        <w:pStyle w:val="Heading2"/>
        <w:rPr>
          <w:sz w:val="24"/>
        </w:rPr>
      </w:pPr>
    </w:p>
    <w:p w14:paraId="644015FD" w14:textId="20489F27" w:rsidR="003C5B33" w:rsidRPr="00B80F63" w:rsidRDefault="00C166B9" w:rsidP="00FA5891">
      <w:pPr>
        <w:pStyle w:val="Heading2"/>
        <w:rPr>
          <w:sz w:val="24"/>
        </w:rPr>
      </w:pPr>
      <w:r>
        <w:rPr>
          <w:sz w:val="24"/>
        </w:rPr>
        <w:t>Introduction &amp; Concordance</w:t>
      </w:r>
    </w:p>
    <w:p w14:paraId="7ECCF240" w14:textId="2EC57EC7" w:rsidR="00273AEB" w:rsidRDefault="00B200F4" w:rsidP="00FA5891">
      <w:pPr>
        <w:rPr>
          <w:sz w:val="22"/>
        </w:rPr>
      </w:pPr>
      <w:r>
        <w:rPr>
          <w:sz w:val="22"/>
        </w:rPr>
        <w:t>The introduction to the Hebraic Roots Bible is located under the “HRB Concordance” tab in the Dictionar</w:t>
      </w:r>
      <w:r w:rsidR="005209E6">
        <w:rPr>
          <w:sz w:val="22"/>
        </w:rPr>
        <w:t>ies window. It, along with the t</w:t>
      </w:r>
      <w:r>
        <w:rPr>
          <w:sz w:val="22"/>
        </w:rPr>
        <w:t>itle page</w:t>
      </w:r>
      <w:r w:rsidR="005209E6">
        <w:rPr>
          <w:sz w:val="22"/>
        </w:rPr>
        <w:t>, can be selected from the menu selection</w:t>
      </w:r>
      <w:r w:rsidR="00273AEB">
        <w:rPr>
          <w:sz w:val="22"/>
        </w:rPr>
        <w:t xml:space="preserve"> panel</w:t>
      </w:r>
      <w:r w:rsidR="005209E6">
        <w:rPr>
          <w:sz w:val="22"/>
        </w:rPr>
        <w:t xml:space="preserve"> on the right side of the window. </w:t>
      </w:r>
      <w:r w:rsidR="00273AEB">
        <w:rPr>
          <w:sz w:val="22"/>
        </w:rPr>
        <w:t xml:space="preserve"> All scripture references are ‘hot’ so that when the mouse is moved over the reference the HRB passage immediately pops-up in a text box.</w:t>
      </w:r>
    </w:p>
    <w:p w14:paraId="73CFBB98" w14:textId="41492962" w:rsidR="00273AEB" w:rsidRDefault="00273AEB" w:rsidP="00FA5891">
      <w:pPr>
        <w:rPr>
          <w:sz w:val="22"/>
        </w:rPr>
      </w:pPr>
      <w:r>
        <w:rPr>
          <w:sz w:val="22"/>
        </w:rPr>
        <w:t>The concordance topics can be directly selected from the selection panel on the right side of the Dictionaries window or can be indirectly selected by clicking on one of the concordance words in the Bible text itself, as long as the ‘HRB Concordance’ tab is selected.</w:t>
      </w:r>
    </w:p>
    <w:p w14:paraId="004E7764" w14:textId="78971B8B" w:rsidR="0011481B" w:rsidRDefault="005209E6" w:rsidP="00FA5891">
      <w:pPr>
        <w:rPr>
          <w:sz w:val="22"/>
        </w:rPr>
      </w:pPr>
      <w:r>
        <w:rPr>
          <w:sz w:val="22"/>
        </w:rPr>
        <w:t>The following are screen-shots of the title page, the introduction and a representative concordance topic</w:t>
      </w:r>
      <w:r w:rsidR="009C54A6">
        <w:rPr>
          <w:sz w:val="22"/>
        </w:rPr>
        <w:t xml:space="preserve"> with a visible pop-up shown</w:t>
      </w:r>
      <w:r>
        <w:rPr>
          <w:sz w:val="22"/>
        </w:rPr>
        <w:t>.</w:t>
      </w:r>
    </w:p>
    <w:p w14:paraId="4D026B3F" w14:textId="2401CBE6" w:rsidR="005209E6" w:rsidRPr="00B80F63" w:rsidRDefault="005209E6" w:rsidP="00FA5891">
      <w:pPr>
        <w:rPr>
          <w:sz w:val="22"/>
        </w:rPr>
      </w:pPr>
      <w:r>
        <w:rPr>
          <w:noProof/>
          <w:sz w:val="22"/>
        </w:rPr>
        <w:drawing>
          <wp:inline distT="0" distB="0" distL="0" distR="0" wp14:anchorId="64A8250D" wp14:editId="35A9E7F8">
            <wp:extent cx="5486400" cy="3857182"/>
            <wp:effectExtent l="0" t="0" r="0" b="3810"/>
            <wp:docPr id="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86400" cy="3857182"/>
                    </a:xfrm>
                    <a:prstGeom prst="rect">
                      <a:avLst/>
                    </a:prstGeom>
                    <a:noFill/>
                    <a:ln>
                      <a:noFill/>
                    </a:ln>
                  </pic:spPr>
                </pic:pic>
              </a:graphicData>
            </a:graphic>
          </wp:inline>
        </w:drawing>
      </w:r>
    </w:p>
    <w:p w14:paraId="548D3180" w14:textId="39AA0158" w:rsidR="0011481B" w:rsidRDefault="005209E6" w:rsidP="00545958">
      <w:pPr>
        <w:jc w:val="center"/>
        <w:rPr>
          <w:sz w:val="22"/>
        </w:rPr>
      </w:pPr>
      <w:r>
        <w:rPr>
          <w:noProof/>
          <w:sz w:val="22"/>
        </w:rPr>
        <w:drawing>
          <wp:inline distT="0" distB="0" distL="0" distR="0" wp14:anchorId="67048E0B" wp14:editId="71BF6BDF">
            <wp:extent cx="5486400" cy="3873498"/>
            <wp:effectExtent l="0" t="0" r="0" b="0"/>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3873498"/>
                    </a:xfrm>
                    <a:prstGeom prst="rect">
                      <a:avLst/>
                    </a:prstGeom>
                    <a:noFill/>
                    <a:ln>
                      <a:noFill/>
                    </a:ln>
                  </pic:spPr>
                </pic:pic>
              </a:graphicData>
            </a:graphic>
          </wp:inline>
        </w:drawing>
      </w:r>
    </w:p>
    <w:p w14:paraId="085B50E9" w14:textId="77777777" w:rsidR="005209E6" w:rsidRDefault="005209E6" w:rsidP="00545958">
      <w:pPr>
        <w:jc w:val="center"/>
        <w:rPr>
          <w:sz w:val="22"/>
        </w:rPr>
      </w:pPr>
    </w:p>
    <w:p w14:paraId="633742F4" w14:textId="55A5A822" w:rsidR="009C54A6" w:rsidRDefault="009C54A6" w:rsidP="00545958">
      <w:pPr>
        <w:jc w:val="center"/>
        <w:rPr>
          <w:sz w:val="22"/>
        </w:rPr>
      </w:pPr>
      <w:r>
        <w:rPr>
          <w:noProof/>
          <w:sz w:val="22"/>
        </w:rPr>
        <w:drawing>
          <wp:inline distT="0" distB="0" distL="0" distR="0" wp14:anchorId="425075ED" wp14:editId="44F3AD2D">
            <wp:extent cx="5486400" cy="3855395"/>
            <wp:effectExtent l="0" t="0" r="0" b="5715"/>
            <wp:docPr id="1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86400" cy="3855395"/>
                    </a:xfrm>
                    <a:prstGeom prst="rect">
                      <a:avLst/>
                    </a:prstGeom>
                    <a:noFill/>
                    <a:ln>
                      <a:noFill/>
                    </a:ln>
                  </pic:spPr>
                </pic:pic>
              </a:graphicData>
            </a:graphic>
          </wp:inline>
        </w:drawing>
      </w:r>
    </w:p>
    <w:p w14:paraId="3E7D9D3A" w14:textId="77777777" w:rsidR="00F402AB" w:rsidRDefault="00F402AB" w:rsidP="00FA5891">
      <w:pPr>
        <w:pStyle w:val="Heading2"/>
        <w:rPr>
          <w:sz w:val="24"/>
        </w:rPr>
      </w:pPr>
    </w:p>
    <w:p w14:paraId="6BDA643E" w14:textId="51FFBCA6" w:rsidR="0011481B" w:rsidRPr="00B80F63" w:rsidRDefault="009C54A6" w:rsidP="00FA5891">
      <w:pPr>
        <w:pStyle w:val="Heading2"/>
        <w:rPr>
          <w:sz w:val="24"/>
        </w:rPr>
      </w:pPr>
      <w:r>
        <w:rPr>
          <w:sz w:val="24"/>
        </w:rPr>
        <w:t>Study Notes</w:t>
      </w:r>
      <w:r w:rsidR="001256B6">
        <w:rPr>
          <w:sz w:val="24"/>
        </w:rPr>
        <w:t xml:space="preserve"> and Cross-References</w:t>
      </w:r>
    </w:p>
    <w:p w14:paraId="344494E9" w14:textId="6E1CA177" w:rsidR="0011481B" w:rsidRDefault="001256B6" w:rsidP="00FA5891">
      <w:pPr>
        <w:rPr>
          <w:sz w:val="22"/>
        </w:rPr>
      </w:pPr>
      <w:r>
        <w:rPr>
          <w:sz w:val="22"/>
        </w:rPr>
        <w:t xml:space="preserve">All the </w:t>
      </w:r>
      <w:r w:rsidRPr="00F402AB">
        <w:rPr>
          <w:i/>
          <w:sz w:val="22"/>
        </w:rPr>
        <w:t>study notes</w:t>
      </w:r>
      <w:r>
        <w:rPr>
          <w:sz w:val="22"/>
        </w:rPr>
        <w:t xml:space="preserve"> within the HRB are located under the “HRB Notes” tab in the Commentaries window. All embedded </w:t>
      </w:r>
      <w:r w:rsidRPr="00F402AB">
        <w:rPr>
          <w:i/>
          <w:sz w:val="22"/>
        </w:rPr>
        <w:t>cross-references</w:t>
      </w:r>
      <w:r w:rsidR="00FF580C">
        <w:rPr>
          <w:sz w:val="22"/>
        </w:rPr>
        <w:t xml:space="preserve"> in the HRB are also located under the same tab in the Commentaries window.</w:t>
      </w:r>
      <w:r w:rsidR="004F47FC">
        <w:rPr>
          <w:sz w:val="22"/>
        </w:rPr>
        <w:t xml:space="preserve"> Whenever a verse is selected that has either an associated study note (denoted by the † symbol) </w:t>
      </w:r>
      <w:r w:rsidR="00F402AB">
        <w:rPr>
          <w:sz w:val="22"/>
        </w:rPr>
        <w:t>and/</w:t>
      </w:r>
      <w:r w:rsidR="004F47FC">
        <w:rPr>
          <w:sz w:val="22"/>
        </w:rPr>
        <w:t>or a cross-reference (denoted by the ° symbol) the</w:t>
      </w:r>
      <w:r w:rsidR="000B5CCD">
        <w:rPr>
          <w:sz w:val="22"/>
        </w:rPr>
        <w:t xml:space="preserve"> collective</w:t>
      </w:r>
      <w:r w:rsidR="004F47FC">
        <w:rPr>
          <w:sz w:val="22"/>
        </w:rPr>
        <w:t xml:space="preserve"> information will show up immediately in the Commentaries window. References</w:t>
      </w:r>
      <w:r w:rsidR="00F402AB">
        <w:rPr>
          <w:sz w:val="22"/>
        </w:rPr>
        <w:t xml:space="preserve"> shown</w:t>
      </w:r>
      <w:r w:rsidR="004F47FC">
        <w:rPr>
          <w:sz w:val="22"/>
        </w:rPr>
        <w:t xml:space="preserve"> in the Commentaries</w:t>
      </w:r>
      <w:r w:rsidR="00F402AB">
        <w:rPr>
          <w:sz w:val="22"/>
        </w:rPr>
        <w:t xml:space="preserve"> window</w:t>
      </w:r>
      <w:r w:rsidR="004F47FC">
        <w:rPr>
          <w:sz w:val="22"/>
        </w:rPr>
        <w:t xml:space="preserve"> are ‘hot’</w:t>
      </w:r>
      <w:r w:rsidR="00F402AB">
        <w:rPr>
          <w:sz w:val="22"/>
        </w:rPr>
        <w:t>. M</w:t>
      </w:r>
      <w:r w:rsidR="004F47FC">
        <w:rPr>
          <w:sz w:val="22"/>
        </w:rPr>
        <w:t xml:space="preserve">oving the mouse over the reference will immediately pop-up a window </w:t>
      </w:r>
      <w:r w:rsidR="00F402AB">
        <w:rPr>
          <w:sz w:val="22"/>
        </w:rPr>
        <w:t>making</w:t>
      </w:r>
      <w:r w:rsidR="004F47FC">
        <w:rPr>
          <w:sz w:val="22"/>
        </w:rPr>
        <w:t xml:space="preserve"> the verse</w:t>
      </w:r>
      <w:r w:rsidR="00F402AB">
        <w:rPr>
          <w:sz w:val="22"/>
        </w:rPr>
        <w:t>(s)</w:t>
      </w:r>
      <w:r w:rsidR="004F47FC">
        <w:rPr>
          <w:sz w:val="22"/>
        </w:rPr>
        <w:t xml:space="preserve"> viewable. Selecting the verse reference rather than just gliding the mouse over </w:t>
      </w:r>
      <w:r w:rsidR="00F402AB">
        <w:rPr>
          <w:sz w:val="22"/>
        </w:rPr>
        <w:t>it</w:t>
      </w:r>
      <w:r w:rsidR="004F47FC">
        <w:rPr>
          <w:sz w:val="22"/>
        </w:rPr>
        <w:t xml:space="preserve"> will immediately </w:t>
      </w:r>
      <w:r w:rsidR="00F402AB">
        <w:rPr>
          <w:sz w:val="22"/>
        </w:rPr>
        <w:t>change the Bible text to the selected reference. [Using the ‘back’ arrow will take you back to the original passage]</w:t>
      </w:r>
    </w:p>
    <w:p w14:paraId="0AFFA07F" w14:textId="5B7BFBF4" w:rsidR="00F402AB" w:rsidRDefault="00F402AB" w:rsidP="00FA5891">
      <w:pPr>
        <w:rPr>
          <w:sz w:val="22"/>
        </w:rPr>
      </w:pPr>
      <w:r>
        <w:rPr>
          <w:sz w:val="22"/>
        </w:rPr>
        <w:t xml:space="preserve">A typical study note and associated cross-references under the “HRB-Notes” tab in the Commentaries window is illustrated in the following figure. </w:t>
      </w:r>
      <w:r w:rsidRPr="00F402AB">
        <w:rPr>
          <w:i/>
          <w:sz w:val="22"/>
        </w:rPr>
        <w:t>(Note that the number shown in parenthesis is an internal HRB study note number and serves no other purpose)</w:t>
      </w:r>
    </w:p>
    <w:p w14:paraId="2E013588" w14:textId="23BA3D27" w:rsidR="00F402AB" w:rsidRPr="00B80F63" w:rsidRDefault="00F402AB" w:rsidP="00FA5891">
      <w:pPr>
        <w:rPr>
          <w:sz w:val="22"/>
        </w:rPr>
      </w:pPr>
      <w:r>
        <w:rPr>
          <w:noProof/>
          <w:sz w:val="22"/>
        </w:rPr>
        <w:drawing>
          <wp:inline distT="0" distB="0" distL="0" distR="0" wp14:anchorId="21189D7E" wp14:editId="6595E94B">
            <wp:extent cx="5486400" cy="3836034"/>
            <wp:effectExtent l="0" t="0" r="0" b="0"/>
            <wp:docPr id="2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86400" cy="3836034"/>
                    </a:xfrm>
                    <a:prstGeom prst="rect">
                      <a:avLst/>
                    </a:prstGeom>
                    <a:noFill/>
                    <a:ln>
                      <a:noFill/>
                    </a:ln>
                  </pic:spPr>
                </pic:pic>
              </a:graphicData>
            </a:graphic>
          </wp:inline>
        </w:drawing>
      </w:r>
    </w:p>
    <w:p w14:paraId="4611882F" w14:textId="486F3835" w:rsidR="0011481B" w:rsidRPr="00B80F63" w:rsidRDefault="0011481B" w:rsidP="00545958">
      <w:pPr>
        <w:jc w:val="center"/>
        <w:rPr>
          <w:sz w:val="22"/>
        </w:rPr>
      </w:pPr>
    </w:p>
    <w:p w14:paraId="45F29389" w14:textId="57533EBD" w:rsidR="00407B09" w:rsidRPr="00B80F63" w:rsidRDefault="00C166B9" w:rsidP="00FA5891">
      <w:pPr>
        <w:pStyle w:val="Heading2"/>
        <w:rPr>
          <w:sz w:val="24"/>
        </w:rPr>
      </w:pPr>
      <w:r>
        <w:rPr>
          <w:sz w:val="24"/>
        </w:rPr>
        <w:t>Maps</w:t>
      </w:r>
    </w:p>
    <w:p w14:paraId="31887EAE" w14:textId="764ADAF0" w:rsidR="00AC6AE5" w:rsidRDefault="000B5CCD" w:rsidP="00FA5891">
      <w:pPr>
        <w:rPr>
          <w:sz w:val="22"/>
        </w:rPr>
      </w:pPr>
      <w:r>
        <w:rPr>
          <w:sz w:val="22"/>
        </w:rPr>
        <w:t>The high quality maps provided in the HRB are located under the “HRB-Maps” Tab in the Graphics Viewer. There are five different maps which can be selected from the drop-down menu on the right side of the viewer. The maps can be expanded as desired by using the standard features built into eSword. A typical map view in the Graphics Viewer is shown as follows:</w:t>
      </w:r>
    </w:p>
    <w:p w14:paraId="44D68F78" w14:textId="46E68F99" w:rsidR="000B5CCD" w:rsidRPr="00B80F63" w:rsidRDefault="00683B2F" w:rsidP="00FA5891">
      <w:pPr>
        <w:rPr>
          <w:sz w:val="22"/>
        </w:rPr>
      </w:pPr>
      <w:r>
        <w:rPr>
          <w:noProof/>
          <w:sz w:val="22"/>
        </w:rPr>
        <w:drawing>
          <wp:inline distT="0" distB="0" distL="0" distR="0" wp14:anchorId="22FC60C9" wp14:editId="726032BB">
            <wp:extent cx="5486400" cy="3718092"/>
            <wp:effectExtent l="0" t="0" r="0" b="0"/>
            <wp:docPr id="2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6400" cy="3718092"/>
                    </a:xfrm>
                    <a:prstGeom prst="rect">
                      <a:avLst/>
                    </a:prstGeom>
                    <a:noFill/>
                    <a:ln>
                      <a:noFill/>
                    </a:ln>
                  </pic:spPr>
                </pic:pic>
              </a:graphicData>
            </a:graphic>
          </wp:inline>
        </w:drawing>
      </w:r>
    </w:p>
    <w:p w14:paraId="63DA07BE" w14:textId="6F871D40" w:rsidR="00AE6FEB" w:rsidRPr="00B80F63" w:rsidRDefault="00AE6FEB" w:rsidP="00D20147">
      <w:pPr>
        <w:jc w:val="center"/>
        <w:rPr>
          <w:sz w:val="22"/>
        </w:rPr>
      </w:pPr>
    </w:p>
    <w:p w14:paraId="32E53555" w14:textId="5C9495D9" w:rsidR="00AE6FEB" w:rsidRPr="00B80F63" w:rsidRDefault="00683B2F" w:rsidP="00FA5891">
      <w:pPr>
        <w:rPr>
          <w:sz w:val="22"/>
        </w:rPr>
      </w:pPr>
      <w:r>
        <w:rPr>
          <w:sz w:val="22"/>
        </w:rPr>
        <w:t>All the standard tools and features of eSword are available for the Hebraic Roots Bible as well. Refer to the eSword Help menu to take full advantage of all of its features as you study the HRB.</w:t>
      </w:r>
    </w:p>
    <w:sectPr w:rsidR="00AE6FEB" w:rsidRPr="00B80F63" w:rsidSect="00056790">
      <w:footerReference w:type="even" r:id="rId16"/>
      <w:footerReference w:type="default" r:id="rId17"/>
      <w:pgSz w:w="12240" w:h="15840"/>
      <w:pgMar w:top="1440" w:right="1800" w:bottom="1440" w:left="1800"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C28D6EC" w14:textId="77777777" w:rsidR="00683B2F" w:rsidRDefault="00683B2F" w:rsidP="00683B2F">
      <w:pPr>
        <w:spacing w:after="0"/>
      </w:pPr>
      <w:r>
        <w:separator/>
      </w:r>
    </w:p>
  </w:endnote>
  <w:endnote w:type="continuationSeparator" w:id="0">
    <w:p w14:paraId="74B32373" w14:textId="77777777" w:rsidR="00683B2F" w:rsidRDefault="00683B2F" w:rsidP="00683B2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A8885F" w14:textId="77777777" w:rsidR="00683B2F" w:rsidRDefault="00683B2F" w:rsidP="00F74548">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6698BD71" w14:textId="77777777" w:rsidR="00683B2F" w:rsidRDefault="00683B2F">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CB91E3" w14:textId="77777777" w:rsidR="00683B2F" w:rsidRDefault="00683B2F" w:rsidP="00F74548">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B4709F">
      <w:rPr>
        <w:rStyle w:val="PageNumber"/>
        <w:noProof/>
      </w:rPr>
      <w:t>1</w:t>
    </w:r>
    <w:r>
      <w:rPr>
        <w:rStyle w:val="PageNumber"/>
      </w:rPr>
      <w:fldChar w:fldCharType="end"/>
    </w:r>
  </w:p>
  <w:p w14:paraId="49CB6417" w14:textId="77777777" w:rsidR="00683B2F" w:rsidRDefault="00683B2F">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565EC9C" w14:textId="77777777" w:rsidR="00683B2F" w:rsidRDefault="00683B2F" w:rsidP="00683B2F">
      <w:pPr>
        <w:spacing w:after="0"/>
      </w:pPr>
      <w:r>
        <w:separator/>
      </w:r>
    </w:p>
  </w:footnote>
  <w:footnote w:type="continuationSeparator" w:id="0">
    <w:p w14:paraId="4FAC3527" w14:textId="77777777" w:rsidR="00683B2F" w:rsidRDefault="00683B2F" w:rsidP="00683B2F">
      <w:pPr>
        <w:spacing w:after="0"/>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445E49"/>
    <w:multiLevelType w:val="hybridMultilevel"/>
    <w:tmpl w:val="40BCC4D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embedSystemFonts/>
  <w:defaultTabStop w:val="720"/>
  <w:drawingGridHorizontalSpacing w:val="360"/>
  <w:drawingGridVerticalSpacing w:val="360"/>
  <w:displayHorizontalDrawingGridEvery w:val="0"/>
  <w:displayVerticalDrawingGridEvery w:val="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54F4"/>
    <w:rsid w:val="00041447"/>
    <w:rsid w:val="00056790"/>
    <w:rsid w:val="000B5CCD"/>
    <w:rsid w:val="0011481B"/>
    <w:rsid w:val="001256B6"/>
    <w:rsid w:val="00170256"/>
    <w:rsid w:val="001C537B"/>
    <w:rsid w:val="00214847"/>
    <w:rsid w:val="00273AEB"/>
    <w:rsid w:val="002E2925"/>
    <w:rsid w:val="00362762"/>
    <w:rsid w:val="003C54F4"/>
    <w:rsid w:val="003C5B33"/>
    <w:rsid w:val="003D1B73"/>
    <w:rsid w:val="003E0D5A"/>
    <w:rsid w:val="00407B09"/>
    <w:rsid w:val="004317C3"/>
    <w:rsid w:val="004F47FC"/>
    <w:rsid w:val="005209E6"/>
    <w:rsid w:val="005306DC"/>
    <w:rsid w:val="00545958"/>
    <w:rsid w:val="00562B48"/>
    <w:rsid w:val="005F01DD"/>
    <w:rsid w:val="00651D1F"/>
    <w:rsid w:val="00675753"/>
    <w:rsid w:val="00683B2F"/>
    <w:rsid w:val="00690315"/>
    <w:rsid w:val="007B4165"/>
    <w:rsid w:val="007C779E"/>
    <w:rsid w:val="00800E86"/>
    <w:rsid w:val="00852201"/>
    <w:rsid w:val="00864900"/>
    <w:rsid w:val="008B4942"/>
    <w:rsid w:val="008C3946"/>
    <w:rsid w:val="00966EE0"/>
    <w:rsid w:val="009A5FE2"/>
    <w:rsid w:val="009C54A6"/>
    <w:rsid w:val="00AC5A5B"/>
    <w:rsid w:val="00AC6AE5"/>
    <w:rsid w:val="00AE6FEB"/>
    <w:rsid w:val="00B139CC"/>
    <w:rsid w:val="00B200F4"/>
    <w:rsid w:val="00B4709F"/>
    <w:rsid w:val="00B80F63"/>
    <w:rsid w:val="00C166B9"/>
    <w:rsid w:val="00C84EBE"/>
    <w:rsid w:val="00CA70BB"/>
    <w:rsid w:val="00D20147"/>
    <w:rsid w:val="00DF3D35"/>
    <w:rsid w:val="00E20B55"/>
    <w:rsid w:val="00E34179"/>
    <w:rsid w:val="00E94436"/>
    <w:rsid w:val="00ED58B0"/>
    <w:rsid w:val="00F402AB"/>
    <w:rsid w:val="00FA5891"/>
    <w:rsid w:val="00FC1FA2"/>
    <w:rsid w:val="00FF580C"/>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FC863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2925"/>
    <w:pPr>
      <w:spacing w:after="120"/>
    </w:pPr>
  </w:style>
  <w:style w:type="paragraph" w:styleId="Heading1">
    <w:name w:val="heading 1"/>
    <w:basedOn w:val="Normal"/>
    <w:next w:val="Normal"/>
    <w:link w:val="Heading1Char"/>
    <w:uiPriority w:val="9"/>
    <w:qFormat/>
    <w:rsid w:val="00407B09"/>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407B09"/>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C54F4"/>
    <w:pPr>
      <w:ind w:left="720"/>
      <w:contextualSpacing/>
    </w:pPr>
  </w:style>
  <w:style w:type="character" w:styleId="Hyperlink">
    <w:name w:val="Hyperlink"/>
    <w:basedOn w:val="DefaultParagraphFont"/>
    <w:uiPriority w:val="99"/>
    <w:unhideWhenUsed/>
    <w:rsid w:val="003D1B73"/>
    <w:rPr>
      <w:color w:val="0000FF" w:themeColor="hyperlink"/>
      <w:u w:val="single"/>
    </w:rPr>
  </w:style>
  <w:style w:type="paragraph" w:styleId="BalloonText">
    <w:name w:val="Balloon Text"/>
    <w:basedOn w:val="Normal"/>
    <w:link w:val="BalloonTextChar"/>
    <w:uiPriority w:val="99"/>
    <w:semiHidden/>
    <w:unhideWhenUsed/>
    <w:rsid w:val="003C5B33"/>
    <w:rPr>
      <w:rFonts w:ascii="Lucida Grande" w:hAnsi="Lucida Grande"/>
      <w:sz w:val="18"/>
      <w:szCs w:val="18"/>
    </w:rPr>
  </w:style>
  <w:style w:type="character" w:customStyle="1" w:styleId="BalloonTextChar">
    <w:name w:val="Balloon Text Char"/>
    <w:basedOn w:val="DefaultParagraphFont"/>
    <w:link w:val="BalloonText"/>
    <w:uiPriority w:val="99"/>
    <w:semiHidden/>
    <w:rsid w:val="003C5B33"/>
    <w:rPr>
      <w:rFonts w:ascii="Lucida Grande" w:hAnsi="Lucida Grande"/>
      <w:sz w:val="18"/>
      <w:szCs w:val="18"/>
    </w:rPr>
  </w:style>
  <w:style w:type="character" w:customStyle="1" w:styleId="Heading1Char">
    <w:name w:val="Heading 1 Char"/>
    <w:basedOn w:val="DefaultParagraphFont"/>
    <w:link w:val="Heading1"/>
    <w:uiPriority w:val="9"/>
    <w:rsid w:val="00407B09"/>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407B09"/>
    <w:rPr>
      <w:rFonts w:asciiTheme="majorHAnsi" w:eastAsiaTheme="majorEastAsia" w:hAnsiTheme="majorHAnsi" w:cstheme="majorBidi"/>
      <w:b/>
      <w:bCs/>
      <w:color w:val="4F81BD" w:themeColor="accent1"/>
      <w:sz w:val="26"/>
      <w:szCs w:val="26"/>
    </w:rPr>
  </w:style>
  <w:style w:type="paragraph" w:styleId="TOCHeading">
    <w:name w:val="TOC Heading"/>
    <w:basedOn w:val="Heading1"/>
    <w:next w:val="Normal"/>
    <w:uiPriority w:val="39"/>
    <w:unhideWhenUsed/>
    <w:qFormat/>
    <w:rsid w:val="00B80F63"/>
    <w:pPr>
      <w:spacing w:after="0" w:line="276" w:lineRule="auto"/>
      <w:outlineLvl w:val="9"/>
    </w:pPr>
    <w:rPr>
      <w:color w:val="365F91" w:themeColor="accent1" w:themeShade="BF"/>
      <w:sz w:val="28"/>
      <w:szCs w:val="28"/>
    </w:rPr>
  </w:style>
  <w:style w:type="paragraph" w:styleId="TOC1">
    <w:name w:val="toc 1"/>
    <w:basedOn w:val="Normal"/>
    <w:next w:val="Normal"/>
    <w:autoRedefine/>
    <w:uiPriority w:val="39"/>
    <w:unhideWhenUsed/>
    <w:rsid w:val="00B80F63"/>
    <w:pPr>
      <w:spacing w:before="120" w:after="0"/>
    </w:pPr>
    <w:rPr>
      <w:rFonts w:asciiTheme="majorHAnsi" w:hAnsiTheme="majorHAnsi"/>
      <w:b/>
      <w:color w:val="548DD4"/>
    </w:rPr>
  </w:style>
  <w:style w:type="paragraph" w:styleId="TOC2">
    <w:name w:val="toc 2"/>
    <w:basedOn w:val="Normal"/>
    <w:next w:val="Normal"/>
    <w:autoRedefine/>
    <w:uiPriority w:val="39"/>
    <w:unhideWhenUsed/>
    <w:rsid w:val="00B80F63"/>
    <w:pPr>
      <w:spacing w:after="0"/>
    </w:pPr>
    <w:rPr>
      <w:sz w:val="22"/>
      <w:szCs w:val="22"/>
    </w:rPr>
  </w:style>
  <w:style w:type="paragraph" w:styleId="TOC3">
    <w:name w:val="toc 3"/>
    <w:basedOn w:val="Normal"/>
    <w:next w:val="Normal"/>
    <w:autoRedefine/>
    <w:uiPriority w:val="39"/>
    <w:semiHidden/>
    <w:unhideWhenUsed/>
    <w:rsid w:val="00B80F63"/>
    <w:pPr>
      <w:spacing w:after="0"/>
      <w:ind w:left="240"/>
    </w:pPr>
    <w:rPr>
      <w:i/>
      <w:sz w:val="22"/>
      <w:szCs w:val="22"/>
    </w:rPr>
  </w:style>
  <w:style w:type="paragraph" w:styleId="TOC4">
    <w:name w:val="toc 4"/>
    <w:basedOn w:val="Normal"/>
    <w:next w:val="Normal"/>
    <w:autoRedefine/>
    <w:uiPriority w:val="39"/>
    <w:semiHidden/>
    <w:unhideWhenUsed/>
    <w:rsid w:val="00B80F63"/>
    <w:pPr>
      <w:pBdr>
        <w:between w:val="double" w:sz="6" w:space="0" w:color="auto"/>
      </w:pBdr>
      <w:spacing w:after="0"/>
      <w:ind w:left="480"/>
    </w:pPr>
    <w:rPr>
      <w:sz w:val="20"/>
      <w:szCs w:val="20"/>
    </w:rPr>
  </w:style>
  <w:style w:type="paragraph" w:styleId="TOC5">
    <w:name w:val="toc 5"/>
    <w:basedOn w:val="Normal"/>
    <w:next w:val="Normal"/>
    <w:autoRedefine/>
    <w:uiPriority w:val="39"/>
    <w:semiHidden/>
    <w:unhideWhenUsed/>
    <w:rsid w:val="00B80F63"/>
    <w:pPr>
      <w:pBdr>
        <w:between w:val="double" w:sz="6" w:space="0" w:color="auto"/>
      </w:pBdr>
      <w:spacing w:after="0"/>
      <w:ind w:left="720"/>
    </w:pPr>
    <w:rPr>
      <w:sz w:val="20"/>
      <w:szCs w:val="20"/>
    </w:rPr>
  </w:style>
  <w:style w:type="paragraph" w:styleId="TOC6">
    <w:name w:val="toc 6"/>
    <w:basedOn w:val="Normal"/>
    <w:next w:val="Normal"/>
    <w:autoRedefine/>
    <w:uiPriority w:val="39"/>
    <w:semiHidden/>
    <w:unhideWhenUsed/>
    <w:rsid w:val="00B80F63"/>
    <w:pPr>
      <w:pBdr>
        <w:between w:val="double" w:sz="6" w:space="0" w:color="auto"/>
      </w:pBdr>
      <w:spacing w:after="0"/>
      <w:ind w:left="960"/>
    </w:pPr>
    <w:rPr>
      <w:sz w:val="20"/>
      <w:szCs w:val="20"/>
    </w:rPr>
  </w:style>
  <w:style w:type="paragraph" w:styleId="TOC7">
    <w:name w:val="toc 7"/>
    <w:basedOn w:val="Normal"/>
    <w:next w:val="Normal"/>
    <w:autoRedefine/>
    <w:uiPriority w:val="39"/>
    <w:semiHidden/>
    <w:unhideWhenUsed/>
    <w:rsid w:val="00B80F63"/>
    <w:pPr>
      <w:pBdr>
        <w:between w:val="double" w:sz="6" w:space="0" w:color="auto"/>
      </w:pBdr>
      <w:spacing w:after="0"/>
      <w:ind w:left="1200"/>
    </w:pPr>
    <w:rPr>
      <w:sz w:val="20"/>
      <w:szCs w:val="20"/>
    </w:rPr>
  </w:style>
  <w:style w:type="paragraph" w:styleId="TOC8">
    <w:name w:val="toc 8"/>
    <w:basedOn w:val="Normal"/>
    <w:next w:val="Normal"/>
    <w:autoRedefine/>
    <w:uiPriority w:val="39"/>
    <w:semiHidden/>
    <w:unhideWhenUsed/>
    <w:rsid w:val="00B80F63"/>
    <w:pPr>
      <w:pBdr>
        <w:between w:val="double" w:sz="6" w:space="0" w:color="auto"/>
      </w:pBdr>
      <w:spacing w:after="0"/>
      <w:ind w:left="1440"/>
    </w:pPr>
    <w:rPr>
      <w:sz w:val="20"/>
      <w:szCs w:val="20"/>
    </w:rPr>
  </w:style>
  <w:style w:type="paragraph" w:styleId="TOC9">
    <w:name w:val="toc 9"/>
    <w:basedOn w:val="Normal"/>
    <w:next w:val="Normal"/>
    <w:autoRedefine/>
    <w:uiPriority w:val="39"/>
    <w:semiHidden/>
    <w:unhideWhenUsed/>
    <w:rsid w:val="00B80F63"/>
    <w:pPr>
      <w:pBdr>
        <w:between w:val="double" w:sz="6" w:space="0" w:color="auto"/>
      </w:pBdr>
      <w:spacing w:after="0"/>
      <w:ind w:left="1680"/>
    </w:pPr>
    <w:rPr>
      <w:sz w:val="20"/>
      <w:szCs w:val="20"/>
    </w:rPr>
  </w:style>
  <w:style w:type="paragraph" w:styleId="Footer">
    <w:name w:val="footer"/>
    <w:basedOn w:val="Normal"/>
    <w:link w:val="FooterChar"/>
    <w:uiPriority w:val="99"/>
    <w:unhideWhenUsed/>
    <w:rsid w:val="00683B2F"/>
    <w:pPr>
      <w:tabs>
        <w:tab w:val="center" w:pos="4320"/>
        <w:tab w:val="right" w:pos="8640"/>
      </w:tabs>
      <w:spacing w:after="0"/>
    </w:pPr>
  </w:style>
  <w:style w:type="character" w:customStyle="1" w:styleId="FooterChar">
    <w:name w:val="Footer Char"/>
    <w:basedOn w:val="DefaultParagraphFont"/>
    <w:link w:val="Footer"/>
    <w:uiPriority w:val="99"/>
    <w:rsid w:val="00683B2F"/>
  </w:style>
  <w:style w:type="character" w:styleId="PageNumber">
    <w:name w:val="page number"/>
    <w:basedOn w:val="DefaultParagraphFont"/>
    <w:uiPriority w:val="99"/>
    <w:semiHidden/>
    <w:unhideWhenUsed/>
    <w:rsid w:val="00683B2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2925"/>
    <w:pPr>
      <w:spacing w:after="120"/>
    </w:pPr>
  </w:style>
  <w:style w:type="paragraph" w:styleId="Heading1">
    <w:name w:val="heading 1"/>
    <w:basedOn w:val="Normal"/>
    <w:next w:val="Normal"/>
    <w:link w:val="Heading1Char"/>
    <w:uiPriority w:val="9"/>
    <w:qFormat/>
    <w:rsid w:val="00407B09"/>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407B09"/>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C54F4"/>
    <w:pPr>
      <w:ind w:left="720"/>
      <w:contextualSpacing/>
    </w:pPr>
  </w:style>
  <w:style w:type="character" w:styleId="Hyperlink">
    <w:name w:val="Hyperlink"/>
    <w:basedOn w:val="DefaultParagraphFont"/>
    <w:uiPriority w:val="99"/>
    <w:unhideWhenUsed/>
    <w:rsid w:val="003D1B73"/>
    <w:rPr>
      <w:color w:val="0000FF" w:themeColor="hyperlink"/>
      <w:u w:val="single"/>
    </w:rPr>
  </w:style>
  <w:style w:type="paragraph" w:styleId="BalloonText">
    <w:name w:val="Balloon Text"/>
    <w:basedOn w:val="Normal"/>
    <w:link w:val="BalloonTextChar"/>
    <w:uiPriority w:val="99"/>
    <w:semiHidden/>
    <w:unhideWhenUsed/>
    <w:rsid w:val="003C5B33"/>
    <w:rPr>
      <w:rFonts w:ascii="Lucida Grande" w:hAnsi="Lucida Grande"/>
      <w:sz w:val="18"/>
      <w:szCs w:val="18"/>
    </w:rPr>
  </w:style>
  <w:style w:type="character" w:customStyle="1" w:styleId="BalloonTextChar">
    <w:name w:val="Balloon Text Char"/>
    <w:basedOn w:val="DefaultParagraphFont"/>
    <w:link w:val="BalloonText"/>
    <w:uiPriority w:val="99"/>
    <w:semiHidden/>
    <w:rsid w:val="003C5B33"/>
    <w:rPr>
      <w:rFonts w:ascii="Lucida Grande" w:hAnsi="Lucida Grande"/>
      <w:sz w:val="18"/>
      <w:szCs w:val="18"/>
    </w:rPr>
  </w:style>
  <w:style w:type="character" w:customStyle="1" w:styleId="Heading1Char">
    <w:name w:val="Heading 1 Char"/>
    <w:basedOn w:val="DefaultParagraphFont"/>
    <w:link w:val="Heading1"/>
    <w:uiPriority w:val="9"/>
    <w:rsid w:val="00407B09"/>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407B09"/>
    <w:rPr>
      <w:rFonts w:asciiTheme="majorHAnsi" w:eastAsiaTheme="majorEastAsia" w:hAnsiTheme="majorHAnsi" w:cstheme="majorBidi"/>
      <w:b/>
      <w:bCs/>
      <w:color w:val="4F81BD" w:themeColor="accent1"/>
      <w:sz w:val="26"/>
      <w:szCs w:val="26"/>
    </w:rPr>
  </w:style>
  <w:style w:type="paragraph" w:styleId="TOCHeading">
    <w:name w:val="TOC Heading"/>
    <w:basedOn w:val="Heading1"/>
    <w:next w:val="Normal"/>
    <w:uiPriority w:val="39"/>
    <w:unhideWhenUsed/>
    <w:qFormat/>
    <w:rsid w:val="00B80F63"/>
    <w:pPr>
      <w:spacing w:after="0" w:line="276" w:lineRule="auto"/>
      <w:outlineLvl w:val="9"/>
    </w:pPr>
    <w:rPr>
      <w:color w:val="365F91" w:themeColor="accent1" w:themeShade="BF"/>
      <w:sz w:val="28"/>
      <w:szCs w:val="28"/>
    </w:rPr>
  </w:style>
  <w:style w:type="paragraph" w:styleId="TOC1">
    <w:name w:val="toc 1"/>
    <w:basedOn w:val="Normal"/>
    <w:next w:val="Normal"/>
    <w:autoRedefine/>
    <w:uiPriority w:val="39"/>
    <w:unhideWhenUsed/>
    <w:rsid w:val="00B80F63"/>
    <w:pPr>
      <w:spacing w:before="120" w:after="0"/>
    </w:pPr>
    <w:rPr>
      <w:rFonts w:asciiTheme="majorHAnsi" w:hAnsiTheme="majorHAnsi"/>
      <w:b/>
      <w:color w:val="548DD4"/>
    </w:rPr>
  </w:style>
  <w:style w:type="paragraph" w:styleId="TOC2">
    <w:name w:val="toc 2"/>
    <w:basedOn w:val="Normal"/>
    <w:next w:val="Normal"/>
    <w:autoRedefine/>
    <w:uiPriority w:val="39"/>
    <w:unhideWhenUsed/>
    <w:rsid w:val="00B80F63"/>
    <w:pPr>
      <w:spacing w:after="0"/>
    </w:pPr>
    <w:rPr>
      <w:sz w:val="22"/>
      <w:szCs w:val="22"/>
    </w:rPr>
  </w:style>
  <w:style w:type="paragraph" w:styleId="TOC3">
    <w:name w:val="toc 3"/>
    <w:basedOn w:val="Normal"/>
    <w:next w:val="Normal"/>
    <w:autoRedefine/>
    <w:uiPriority w:val="39"/>
    <w:semiHidden/>
    <w:unhideWhenUsed/>
    <w:rsid w:val="00B80F63"/>
    <w:pPr>
      <w:spacing w:after="0"/>
      <w:ind w:left="240"/>
    </w:pPr>
    <w:rPr>
      <w:i/>
      <w:sz w:val="22"/>
      <w:szCs w:val="22"/>
    </w:rPr>
  </w:style>
  <w:style w:type="paragraph" w:styleId="TOC4">
    <w:name w:val="toc 4"/>
    <w:basedOn w:val="Normal"/>
    <w:next w:val="Normal"/>
    <w:autoRedefine/>
    <w:uiPriority w:val="39"/>
    <w:semiHidden/>
    <w:unhideWhenUsed/>
    <w:rsid w:val="00B80F63"/>
    <w:pPr>
      <w:pBdr>
        <w:between w:val="double" w:sz="6" w:space="0" w:color="auto"/>
      </w:pBdr>
      <w:spacing w:after="0"/>
      <w:ind w:left="480"/>
    </w:pPr>
    <w:rPr>
      <w:sz w:val="20"/>
      <w:szCs w:val="20"/>
    </w:rPr>
  </w:style>
  <w:style w:type="paragraph" w:styleId="TOC5">
    <w:name w:val="toc 5"/>
    <w:basedOn w:val="Normal"/>
    <w:next w:val="Normal"/>
    <w:autoRedefine/>
    <w:uiPriority w:val="39"/>
    <w:semiHidden/>
    <w:unhideWhenUsed/>
    <w:rsid w:val="00B80F63"/>
    <w:pPr>
      <w:pBdr>
        <w:between w:val="double" w:sz="6" w:space="0" w:color="auto"/>
      </w:pBdr>
      <w:spacing w:after="0"/>
      <w:ind w:left="720"/>
    </w:pPr>
    <w:rPr>
      <w:sz w:val="20"/>
      <w:szCs w:val="20"/>
    </w:rPr>
  </w:style>
  <w:style w:type="paragraph" w:styleId="TOC6">
    <w:name w:val="toc 6"/>
    <w:basedOn w:val="Normal"/>
    <w:next w:val="Normal"/>
    <w:autoRedefine/>
    <w:uiPriority w:val="39"/>
    <w:semiHidden/>
    <w:unhideWhenUsed/>
    <w:rsid w:val="00B80F63"/>
    <w:pPr>
      <w:pBdr>
        <w:between w:val="double" w:sz="6" w:space="0" w:color="auto"/>
      </w:pBdr>
      <w:spacing w:after="0"/>
      <w:ind w:left="960"/>
    </w:pPr>
    <w:rPr>
      <w:sz w:val="20"/>
      <w:szCs w:val="20"/>
    </w:rPr>
  </w:style>
  <w:style w:type="paragraph" w:styleId="TOC7">
    <w:name w:val="toc 7"/>
    <w:basedOn w:val="Normal"/>
    <w:next w:val="Normal"/>
    <w:autoRedefine/>
    <w:uiPriority w:val="39"/>
    <w:semiHidden/>
    <w:unhideWhenUsed/>
    <w:rsid w:val="00B80F63"/>
    <w:pPr>
      <w:pBdr>
        <w:between w:val="double" w:sz="6" w:space="0" w:color="auto"/>
      </w:pBdr>
      <w:spacing w:after="0"/>
      <w:ind w:left="1200"/>
    </w:pPr>
    <w:rPr>
      <w:sz w:val="20"/>
      <w:szCs w:val="20"/>
    </w:rPr>
  </w:style>
  <w:style w:type="paragraph" w:styleId="TOC8">
    <w:name w:val="toc 8"/>
    <w:basedOn w:val="Normal"/>
    <w:next w:val="Normal"/>
    <w:autoRedefine/>
    <w:uiPriority w:val="39"/>
    <w:semiHidden/>
    <w:unhideWhenUsed/>
    <w:rsid w:val="00B80F63"/>
    <w:pPr>
      <w:pBdr>
        <w:between w:val="double" w:sz="6" w:space="0" w:color="auto"/>
      </w:pBdr>
      <w:spacing w:after="0"/>
      <w:ind w:left="1440"/>
    </w:pPr>
    <w:rPr>
      <w:sz w:val="20"/>
      <w:szCs w:val="20"/>
    </w:rPr>
  </w:style>
  <w:style w:type="paragraph" w:styleId="TOC9">
    <w:name w:val="toc 9"/>
    <w:basedOn w:val="Normal"/>
    <w:next w:val="Normal"/>
    <w:autoRedefine/>
    <w:uiPriority w:val="39"/>
    <w:semiHidden/>
    <w:unhideWhenUsed/>
    <w:rsid w:val="00B80F63"/>
    <w:pPr>
      <w:pBdr>
        <w:between w:val="double" w:sz="6" w:space="0" w:color="auto"/>
      </w:pBdr>
      <w:spacing w:after="0"/>
      <w:ind w:left="1680"/>
    </w:pPr>
    <w:rPr>
      <w:sz w:val="20"/>
      <w:szCs w:val="20"/>
    </w:rPr>
  </w:style>
  <w:style w:type="paragraph" w:styleId="Footer">
    <w:name w:val="footer"/>
    <w:basedOn w:val="Normal"/>
    <w:link w:val="FooterChar"/>
    <w:uiPriority w:val="99"/>
    <w:unhideWhenUsed/>
    <w:rsid w:val="00683B2F"/>
    <w:pPr>
      <w:tabs>
        <w:tab w:val="center" w:pos="4320"/>
        <w:tab w:val="right" w:pos="8640"/>
      </w:tabs>
      <w:spacing w:after="0"/>
    </w:pPr>
  </w:style>
  <w:style w:type="character" w:customStyle="1" w:styleId="FooterChar">
    <w:name w:val="Footer Char"/>
    <w:basedOn w:val="DefaultParagraphFont"/>
    <w:link w:val="Footer"/>
    <w:uiPriority w:val="99"/>
    <w:rsid w:val="00683B2F"/>
  </w:style>
  <w:style w:type="character" w:styleId="PageNumber">
    <w:name w:val="page number"/>
    <w:basedOn w:val="DefaultParagraphFont"/>
    <w:uiPriority w:val="99"/>
    <w:semiHidden/>
    <w:unhideWhenUsed/>
    <w:rsid w:val="00683B2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footer" Target="footer1.xml"/><Relationship Id="rId17" Type="http://schemas.openxmlformats.org/officeDocument/2006/relationships/footer" Target="footer2.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435251-6885-7241-AF85-0039124ED1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205</TotalTime>
  <Pages>7</Pages>
  <Words>775</Words>
  <Characters>4419</Characters>
  <Application>Microsoft Macintosh Word</Application>
  <DocSecurity>0</DocSecurity>
  <Lines>36</Lines>
  <Paragraphs>10</Paragraphs>
  <ScaleCrop>false</ScaleCrop>
  <Company>...</Company>
  <LinksUpToDate>false</LinksUpToDate>
  <CharactersWithSpaces>5184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Sharrit</dc:creator>
  <cp:keywords/>
  <dc:description/>
  <cp:lastModifiedBy>Paul Sharrit</cp:lastModifiedBy>
  <cp:revision>15</cp:revision>
  <dcterms:created xsi:type="dcterms:W3CDTF">2013-08-16T03:55:00Z</dcterms:created>
  <dcterms:modified xsi:type="dcterms:W3CDTF">2013-08-27T04:35:00Z</dcterms:modified>
</cp:coreProperties>
</file>